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13250C" w14:textId="77777777" w:rsidR="008F55CC" w:rsidRPr="008F55CC" w:rsidRDefault="008F55CC" w:rsidP="008F55CC">
      <w:pPr>
        <w:pStyle w:val="Heading1"/>
        <w:spacing w:before="56"/>
        <w:rPr>
          <w:rFonts w:asciiTheme="majorHAnsi" w:hAnsiTheme="majorHAnsi"/>
          <w:sz w:val="22"/>
          <w:szCs w:val="22"/>
        </w:rPr>
      </w:pPr>
      <w:r w:rsidRPr="008F55CC">
        <w:rPr>
          <w:rFonts w:asciiTheme="majorHAnsi" w:hAnsiTheme="majorHAnsi"/>
          <w:sz w:val="22"/>
          <w:szCs w:val="22"/>
        </w:rPr>
        <w:t>[DATE]</w:t>
      </w:r>
    </w:p>
    <w:p w14:paraId="2480F3AF" w14:textId="77777777" w:rsidR="008F55CC" w:rsidRPr="008F55CC" w:rsidRDefault="008F55CC" w:rsidP="008F55CC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</w:p>
    <w:p w14:paraId="02114E81" w14:textId="77777777" w:rsidR="008F55CC" w:rsidRPr="008F55CC" w:rsidRDefault="008F55CC" w:rsidP="008F55CC">
      <w:pPr>
        <w:pStyle w:val="BodyText"/>
        <w:spacing w:before="7"/>
        <w:ind w:left="0" w:firstLine="0"/>
        <w:rPr>
          <w:rFonts w:asciiTheme="majorHAnsi" w:hAnsiTheme="majorHAnsi"/>
          <w:sz w:val="22"/>
          <w:szCs w:val="22"/>
        </w:rPr>
      </w:pPr>
    </w:p>
    <w:p w14:paraId="6CFD5ABD" w14:textId="77777777" w:rsidR="008F55CC" w:rsidRPr="008F55CC" w:rsidRDefault="008F55CC" w:rsidP="008F55CC">
      <w:pPr>
        <w:spacing w:line="276" w:lineRule="auto"/>
        <w:ind w:left="100" w:right="808"/>
        <w:jc w:val="both"/>
        <w:rPr>
          <w:rFonts w:asciiTheme="majorHAnsi" w:hAnsiTheme="majorHAnsi"/>
        </w:rPr>
      </w:pPr>
      <w:r w:rsidRPr="008F55CC">
        <w:rPr>
          <w:rFonts w:asciiTheme="majorHAnsi" w:hAnsiTheme="majorHAnsi"/>
        </w:rPr>
        <w:t>To Whom It May Concern:</w:t>
      </w:r>
    </w:p>
    <w:p w14:paraId="4E8F077D" w14:textId="77777777" w:rsidR="008F55CC" w:rsidRPr="008F55CC" w:rsidRDefault="008F55CC" w:rsidP="008F55CC">
      <w:pPr>
        <w:tabs>
          <w:tab w:val="left" w:pos="819"/>
          <w:tab w:val="left" w:pos="3466"/>
        </w:tabs>
        <w:spacing w:before="199" w:line="276" w:lineRule="auto"/>
        <w:ind w:left="100" w:right="20"/>
        <w:jc w:val="both"/>
        <w:rPr>
          <w:rFonts w:asciiTheme="majorHAnsi" w:hAnsiTheme="majorHAnsi"/>
        </w:rPr>
      </w:pPr>
      <w:r w:rsidRPr="008F55CC">
        <w:rPr>
          <w:rFonts w:asciiTheme="majorHAnsi" w:hAnsiTheme="majorHAnsi"/>
          <w:u w:val="single"/>
        </w:rPr>
        <w:tab/>
        <w:t>[PATIENT NAME]</w:t>
      </w:r>
      <w:r w:rsidRPr="008F55CC">
        <w:rPr>
          <w:rFonts w:asciiTheme="majorHAnsi" w:hAnsiTheme="majorHAnsi"/>
          <w:u w:val="single"/>
        </w:rPr>
        <w:tab/>
      </w:r>
      <w:r w:rsidRPr="008F55CC">
        <w:rPr>
          <w:rFonts w:asciiTheme="majorHAnsi" w:hAnsiTheme="majorHAnsi"/>
        </w:rPr>
        <w:t>has been diagnosed as having Ménière's disease, a progressive and debilitating inner ear disorder characterized by recurrent spells of vertigo, tinnitus, and hearing lo</w:t>
      </w:r>
      <w:bookmarkStart w:id="0" w:name="_GoBack"/>
      <w:bookmarkEnd w:id="0"/>
      <w:r w:rsidRPr="008F55CC">
        <w:rPr>
          <w:rFonts w:asciiTheme="majorHAnsi" w:hAnsiTheme="majorHAnsi"/>
        </w:rPr>
        <w:t>ss. The patient was initially treated with diet, lifestyle, and medical treatment, but the symptoms have worsened to the point where it adversely affects his/her mobility and ability to perform daily routines.</w:t>
      </w:r>
    </w:p>
    <w:p w14:paraId="601F1682" w14:textId="77777777" w:rsidR="008F55CC" w:rsidRPr="008F55CC" w:rsidRDefault="008F55CC" w:rsidP="008F55CC">
      <w:pPr>
        <w:spacing w:before="204" w:line="276" w:lineRule="auto"/>
        <w:ind w:left="100" w:right="20"/>
        <w:jc w:val="both"/>
        <w:rPr>
          <w:rFonts w:asciiTheme="majorHAnsi" w:hAnsiTheme="majorHAnsi"/>
        </w:rPr>
      </w:pPr>
      <w:r w:rsidRPr="008F55CC">
        <w:rPr>
          <w:rFonts w:asciiTheme="majorHAnsi" w:hAnsiTheme="majorHAnsi"/>
        </w:rPr>
        <w:t>Since this patient has failed medical treatment and a low-sodium diet, other treatment options have been entertained. The surgical options include an endolymphatic mastoid shunt, a selective vestibular nerve section and transtympanic gentamycin injections. All of these options are invasive and carry a significant risk of hearing loss and possibly loss of balance.</w:t>
      </w:r>
    </w:p>
    <w:p w14:paraId="23AF59BC" w14:textId="597CCDE6" w:rsidR="008F55CC" w:rsidRPr="008F55CC" w:rsidRDefault="00423AE6" w:rsidP="008F55CC">
      <w:pPr>
        <w:spacing w:before="168" w:line="276" w:lineRule="auto"/>
        <w:ind w:left="100" w:right="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 minimally invasive</w:t>
      </w:r>
      <w:r w:rsidR="008F55CC" w:rsidRPr="008F55CC">
        <w:rPr>
          <w:rFonts w:asciiTheme="majorHAnsi" w:hAnsiTheme="majorHAnsi"/>
        </w:rPr>
        <w:t xml:space="preserve"> option is available through the use of the Meniett</w:t>
      </w:r>
      <w:r w:rsidR="008F55CC" w:rsidRPr="008F55CC">
        <w:rPr>
          <w:rFonts w:asciiTheme="majorHAnsi" w:hAnsiTheme="majorHAnsi"/>
          <w:position w:val="11"/>
        </w:rPr>
        <w:t xml:space="preserve"> </w:t>
      </w:r>
      <w:r>
        <w:rPr>
          <w:rFonts w:asciiTheme="majorHAnsi" w:hAnsiTheme="majorHAnsi"/>
        </w:rPr>
        <w:t>Low-</w:t>
      </w:r>
      <w:r w:rsidR="008F55CC" w:rsidRPr="008F55CC">
        <w:rPr>
          <w:rFonts w:asciiTheme="majorHAnsi" w:hAnsiTheme="majorHAnsi"/>
        </w:rPr>
        <w:t>Pressure Pulse Generator (HCPCS code E2120). The Meniett device delivers micropressure pulses into the ear canal, which are subsequently transmitted through a tympanostomy tube into the middle ear space. The pressure is transmitted through the round window into the inner ear where it is believed to displace the excess</w:t>
      </w:r>
      <w:r>
        <w:rPr>
          <w:rFonts w:asciiTheme="majorHAnsi" w:hAnsiTheme="majorHAnsi"/>
        </w:rPr>
        <w:t xml:space="preserve"> fluid within the inner ear. In </w:t>
      </w:r>
      <w:r w:rsidR="008F55CC" w:rsidRPr="008F55CC">
        <w:rPr>
          <w:rFonts w:asciiTheme="majorHAnsi" w:hAnsiTheme="majorHAnsi"/>
        </w:rPr>
        <w:t>doing</w:t>
      </w:r>
      <w:r>
        <w:rPr>
          <w:rFonts w:asciiTheme="majorHAnsi" w:hAnsiTheme="majorHAnsi"/>
        </w:rPr>
        <w:t xml:space="preserve"> so</w:t>
      </w:r>
      <w:r w:rsidR="008F55CC" w:rsidRPr="008F55CC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the vertigo </w:t>
      </w:r>
      <w:r w:rsidR="008F55CC" w:rsidRPr="008F55CC">
        <w:rPr>
          <w:rFonts w:asciiTheme="majorHAnsi" w:hAnsiTheme="majorHAnsi"/>
        </w:rPr>
        <w:t>symptoms of Ménière's disease</w:t>
      </w:r>
      <w:r>
        <w:rPr>
          <w:rFonts w:asciiTheme="majorHAnsi" w:hAnsiTheme="majorHAnsi"/>
        </w:rPr>
        <w:t xml:space="preserve"> are controlled</w:t>
      </w:r>
      <w:r w:rsidR="008F55CC" w:rsidRPr="008F55CC">
        <w:rPr>
          <w:rFonts w:asciiTheme="majorHAnsi" w:hAnsiTheme="majorHAnsi"/>
        </w:rPr>
        <w:t xml:space="preserve"> in the majority of patients in clinical studies both in the US and internationally, see list of Clinical References enclosed.</w:t>
      </w:r>
    </w:p>
    <w:p w14:paraId="19125957" w14:textId="77777777" w:rsidR="008F55CC" w:rsidRPr="008F55CC" w:rsidRDefault="008F55CC" w:rsidP="008F55CC">
      <w:pPr>
        <w:spacing w:before="200" w:line="276" w:lineRule="auto"/>
        <w:ind w:left="100" w:right="20"/>
        <w:jc w:val="both"/>
        <w:rPr>
          <w:rFonts w:asciiTheme="majorHAnsi" w:hAnsiTheme="majorHAnsi"/>
        </w:rPr>
      </w:pPr>
      <w:r w:rsidRPr="008F55CC">
        <w:rPr>
          <w:rFonts w:asciiTheme="majorHAnsi" w:hAnsiTheme="majorHAnsi"/>
        </w:rPr>
        <w:t>I believe that this device would potentially control the patient's vertigo spells at a reduced risk as well as at a reduced cost, and would be in the patient's best interests. The patient would like to proceed with obtaining the Meniett device to control his/her vertigo.</w:t>
      </w:r>
    </w:p>
    <w:p w14:paraId="6FFA227D" w14:textId="77777777" w:rsidR="008F55CC" w:rsidRPr="008F55CC" w:rsidRDefault="008F55CC" w:rsidP="008F55CC">
      <w:pPr>
        <w:tabs>
          <w:tab w:val="left" w:pos="5859"/>
          <w:tab w:val="left" w:pos="8739"/>
        </w:tabs>
        <w:spacing w:before="199" w:line="276" w:lineRule="auto"/>
        <w:ind w:left="100" w:right="20"/>
        <w:jc w:val="both"/>
        <w:rPr>
          <w:rFonts w:asciiTheme="majorHAnsi" w:hAnsiTheme="majorHAnsi"/>
        </w:rPr>
      </w:pPr>
      <w:r w:rsidRPr="008F55CC">
        <w:rPr>
          <w:rFonts w:asciiTheme="majorHAnsi" w:hAnsiTheme="majorHAnsi"/>
        </w:rPr>
        <w:t>Please consider coverage of the Meniett</w:t>
      </w:r>
      <w:r w:rsidRPr="008F55CC">
        <w:rPr>
          <w:rFonts w:asciiTheme="majorHAnsi" w:hAnsiTheme="majorHAnsi"/>
          <w:spacing w:val="-4"/>
        </w:rPr>
        <w:t xml:space="preserve"> </w:t>
      </w:r>
      <w:r w:rsidRPr="008F55CC">
        <w:rPr>
          <w:rFonts w:asciiTheme="majorHAnsi" w:hAnsiTheme="majorHAnsi"/>
        </w:rPr>
        <w:t>device</w:t>
      </w:r>
      <w:r w:rsidRPr="008F55CC">
        <w:rPr>
          <w:rFonts w:asciiTheme="majorHAnsi" w:hAnsiTheme="majorHAnsi"/>
          <w:spacing w:val="-1"/>
        </w:rPr>
        <w:t xml:space="preserve"> </w:t>
      </w:r>
      <w:r w:rsidRPr="008F55CC">
        <w:rPr>
          <w:rFonts w:asciiTheme="majorHAnsi" w:hAnsiTheme="majorHAnsi"/>
        </w:rPr>
        <w:t>for</w:t>
      </w:r>
      <w:r w:rsidRPr="008F55CC">
        <w:rPr>
          <w:rFonts w:asciiTheme="majorHAnsi" w:hAnsiTheme="majorHAnsi"/>
          <w:u w:val="single"/>
        </w:rPr>
        <w:t xml:space="preserve"> </w:t>
      </w:r>
      <w:r w:rsidRPr="008F55CC">
        <w:rPr>
          <w:rFonts w:asciiTheme="majorHAnsi" w:hAnsiTheme="majorHAnsi"/>
          <w:u w:val="single"/>
        </w:rPr>
        <w:tab/>
        <w:t>[PATIENT NAME]</w:t>
      </w:r>
      <w:r w:rsidRPr="008F55CC">
        <w:rPr>
          <w:rFonts w:asciiTheme="majorHAnsi" w:hAnsiTheme="majorHAnsi"/>
          <w:u w:val="single"/>
        </w:rPr>
        <w:tab/>
      </w:r>
      <w:r w:rsidRPr="008F55CC">
        <w:rPr>
          <w:rFonts w:asciiTheme="majorHAnsi" w:hAnsiTheme="majorHAnsi"/>
        </w:rPr>
        <w:t>in lieu of the more invasive, costly, and potentially risky surgical options mentioned above. If additional information would prove helpful, please do not hesitate to contact me.</w:t>
      </w:r>
    </w:p>
    <w:p w14:paraId="6A0A04FA" w14:textId="77777777" w:rsidR="008F55CC" w:rsidRPr="008F55CC" w:rsidRDefault="008F55CC" w:rsidP="008F55CC">
      <w:pPr>
        <w:spacing w:before="199" w:line="276" w:lineRule="auto"/>
        <w:ind w:left="100" w:right="20"/>
        <w:jc w:val="both"/>
        <w:rPr>
          <w:rFonts w:asciiTheme="majorHAnsi" w:hAnsiTheme="majorHAnsi"/>
        </w:rPr>
      </w:pPr>
      <w:r w:rsidRPr="008F55CC">
        <w:rPr>
          <w:rFonts w:asciiTheme="majorHAnsi" w:hAnsiTheme="majorHAnsi"/>
        </w:rPr>
        <w:t>Sincerely,</w:t>
      </w:r>
    </w:p>
    <w:p w14:paraId="1D6DD67F" w14:textId="77777777" w:rsidR="008F55CC" w:rsidRPr="008F55CC" w:rsidRDefault="008F55CC" w:rsidP="008F55CC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</w:p>
    <w:p w14:paraId="19CA7A4A" w14:textId="77777777" w:rsidR="008F55CC" w:rsidRPr="008F55CC" w:rsidRDefault="008F55CC" w:rsidP="008F55CC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</w:p>
    <w:p w14:paraId="07C22C8C" w14:textId="77777777" w:rsidR="008F55CC" w:rsidRPr="008F55CC" w:rsidRDefault="008F55CC" w:rsidP="008F55CC">
      <w:pPr>
        <w:ind w:left="100" w:right="808"/>
        <w:rPr>
          <w:rFonts w:asciiTheme="majorHAnsi" w:hAnsiTheme="majorHAnsi"/>
        </w:rPr>
      </w:pPr>
      <w:r w:rsidRPr="008F55CC">
        <w:rPr>
          <w:rFonts w:asciiTheme="majorHAnsi" w:hAnsiTheme="majorHAnsi"/>
        </w:rPr>
        <w:t>[PHYSICIAN NAME]</w:t>
      </w:r>
    </w:p>
    <w:p w14:paraId="3F33AB29" w14:textId="77777777" w:rsidR="008F55CC" w:rsidRPr="008F55CC" w:rsidRDefault="008F55CC" w:rsidP="008F55CC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</w:p>
    <w:p w14:paraId="3C3A157E" w14:textId="77777777" w:rsidR="008F55CC" w:rsidRPr="008F55CC" w:rsidRDefault="008F55CC" w:rsidP="008F55CC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</w:p>
    <w:p w14:paraId="1B575532" w14:textId="77777777" w:rsidR="008F55CC" w:rsidRPr="008F55CC" w:rsidRDefault="008F55CC" w:rsidP="008F55CC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</w:p>
    <w:p w14:paraId="006C3184" w14:textId="77777777" w:rsidR="008F55CC" w:rsidRPr="008F55CC" w:rsidRDefault="008F55CC" w:rsidP="008F55CC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</w:p>
    <w:p w14:paraId="51B439F8" w14:textId="77777777" w:rsidR="008F55CC" w:rsidRPr="008F55CC" w:rsidRDefault="008F55CC" w:rsidP="008F55CC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</w:p>
    <w:p w14:paraId="0A20AE99" w14:textId="77777777" w:rsidR="008F55CC" w:rsidRPr="008F55CC" w:rsidRDefault="008F55CC" w:rsidP="008F55CC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</w:p>
    <w:p w14:paraId="22D6D7CF" w14:textId="77777777" w:rsidR="008F55CC" w:rsidRPr="008F55CC" w:rsidRDefault="008F55CC" w:rsidP="008F55CC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</w:p>
    <w:p w14:paraId="2721EAD4" w14:textId="77777777" w:rsidR="008F55CC" w:rsidRPr="008F55CC" w:rsidRDefault="008F55CC" w:rsidP="008F55CC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</w:p>
    <w:p w14:paraId="5B3A9D8E" w14:textId="77777777" w:rsidR="008F55CC" w:rsidRPr="008F55CC" w:rsidRDefault="008F55CC" w:rsidP="008F55CC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</w:p>
    <w:p w14:paraId="72BB48EB" w14:textId="6058D2FF" w:rsidR="008F55CC" w:rsidRPr="008F55CC" w:rsidRDefault="008F55CC" w:rsidP="008F55CC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  <w:r w:rsidRPr="008F55CC">
        <w:rPr>
          <w:rFonts w:asciiTheme="majorHAnsi" w:hAnsiTheme="majorHAnsi"/>
          <w:sz w:val="22"/>
          <w:szCs w:val="22"/>
        </w:rPr>
        <w:t>Enclosure: List of Clinical References</w:t>
      </w:r>
      <w:r w:rsidR="006A4103">
        <w:rPr>
          <w:rFonts w:asciiTheme="majorHAnsi" w:hAnsiTheme="majorHAnsi"/>
          <w:sz w:val="22"/>
          <w:szCs w:val="22"/>
        </w:rPr>
        <w:t xml:space="preserve"> on Meniett Low-Pressure Therapy</w:t>
      </w:r>
    </w:p>
    <w:p w14:paraId="15E954A3" w14:textId="77777777" w:rsidR="008F55CC" w:rsidRPr="006C16E9" w:rsidRDefault="008F55CC" w:rsidP="008F55CC">
      <w:pPr>
        <w:pStyle w:val="BodyText"/>
        <w:ind w:left="0" w:firstLine="0"/>
        <w:rPr>
          <w:rFonts w:asciiTheme="majorHAnsi" w:hAnsiTheme="majorHAnsi"/>
          <w:b/>
          <w:sz w:val="22"/>
          <w:szCs w:val="22"/>
        </w:rPr>
      </w:pPr>
      <w:r w:rsidRPr="006C16E9">
        <w:rPr>
          <w:rFonts w:asciiTheme="majorHAnsi" w:hAnsiTheme="majorHAnsi"/>
          <w:b/>
          <w:sz w:val="22"/>
          <w:szCs w:val="22"/>
        </w:rPr>
        <w:lastRenderedPageBreak/>
        <w:t>Clinical References on Meniett Low-Pressure Therapy</w:t>
      </w:r>
    </w:p>
    <w:p w14:paraId="3360AF08" w14:textId="77777777" w:rsidR="008F55CC" w:rsidRPr="008F55CC" w:rsidRDefault="008F55CC" w:rsidP="008F55CC">
      <w:pPr>
        <w:pStyle w:val="BodyText"/>
        <w:ind w:left="0" w:firstLine="0"/>
        <w:rPr>
          <w:rFonts w:asciiTheme="majorHAnsi" w:hAnsiTheme="majorHAnsi"/>
          <w:sz w:val="22"/>
          <w:szCs w:val="22"/>
        </w:rPr>
      </w:pPr>
    </w:p>
    <w:p w14:paraId="1F279A21" w14:textId="77777777" w:rsidR="008F55CC" w:rsidRPr="008F55CC" w:rsidRDefault="008F55CC" w:rsidP="006C16E9">
      <w:pPr>
        <w:pStyle w:val="BodyText"/>
        <w:ind w:left="0" w:firstLine="0"/>
        <w:rPr>
          <w:rFonts w:asciiTheme="majorHAnsi" w:hAnsiTheme="majorHAnsi"/>
          <w:sz w:val="20"/>
          <w:szCs w:val="22"/>
        </w:rPr>
      </w:pPr>
      <w:r w:rsidRPr="008F55CC">
        <w:rPr>
          <w:rFonts w:asciiTheme="majorHAnsi" w:hAnsiTheme="majorHAnsi"/>
          <w:sz w:val="20"/>
          <w:szCs w:val="22"/>
        </w:rPr>
        <w:t>Randomized Controlled Trials</w:t>
      </w:r>
    </w:p>
    <w:p w14:paraId="4D509DC2" w14:textId="77777777" w:rsidR="008F55CC" w:rsidRDefault="008F55CC" w:rsidP="006C16E9">
      <w:pPr>
        <w:pStyle w:val="ListParagraph"/>
        <w:numPr>
          <w:ilvl w:val="0"/>
          <w:numId w:val="1"/>
        </w:numPr>
        <w:tabs>
          <w:tab w:val="left" w:pos="1059"/>
        </w:tabs>
        <w:spacing w:line="309" w:lineRule="auto"/>
        <w:ind w:left="360" w:right="191"/>
        <w:rPr>
          <w:rFonts w:asciiTheme="majorHAnsi" w:hAnsiTheme="majorHAnsi"/>
          <w:sz w:val="16"/>
          <w:szCs w:val="16"/>
        </w:rPr>
      </w:pPr>
      <w:r w:rsidRPr="008F55CC">
        <w:rPr>
          <w:rFonts w:asciiTheme="majorHAnsi" w:hAnsiTheme="majorHAnsi"/>
          <w:sz w:val="16"/>
          <w:szCs w:val="16"/>
        </w:rPr>
        <w:t>Gurkov R, Filipe Mingas LB, Rader T, Louza J, Olzowy B, Krause E.</w:t>
      </w:r>
      <w:r w:rsidRPr="008F55CC">
        <w:rPr>
          <w:rFonts w:asciiTheme="majorHAnsi" w:hAnsiTheme="majorHAnsi"/>
          <w:spacing w:val="-23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Effect</w:t>
      </w:r>
      <w:r w:rsidRPr="008F55CC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of</w:t>
      </w:r>
      <w:r w:rsidRPr="008F55CC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transtympanic low-pressure therapy in patients with unilateral Meniere's disease unresponsive to betahistine: A randomised, placebo-controlled, double-blinded, clinical trial. J Laryngol Otol 2012;126:356-362.</w:t>
      </w:r>
    </w:p>
    <w:p w14:paraId="03571D02" w14:textId="77777777" w:rsidR="006C16E9" w:rsidRPr="006C16E9" w:rsidRDefault="006C16E9" w:rsidP="006C16E9">
      <w:pPr>
        <w:pStyle w:val="ListParagraph"/>
        <w:tabs>
          <w:tab w:val="left" w:pos="1059"/>
        </w:tabs>
        <w:spacing w:line="309" w:lineRule="auto"/>
        <w:ind w:left="360" w:right="191" w:firstLine="0"/>
        <w:rPr>
          <w:rFonts w:asciiTheme="majorHAnsi" w:hAnsiTheme="majorHAnsi"/>
          <w:sz w:val="8"/>
          <w:szCs w:val="8"/>
        </w:rPr>
      </w:pPr>
    </w:p>
    <w:p w14:paraId="40009843" w14:textId="77777777" w:rsidR="006C16E9" w:rsidRDefault="008F55CC" w:rsidP="006C16E9">
      <w:pPr>
        <w:pStyle w:val="ListParagraph"/>
        <w:numPr>
          <w:ilvl w:val="0"/>
          <w:numId w:val="1"/>
        </w:numPr>
        <w:spacing w:line="302" w:lineRule="auto"/>
        <w:ind w:left="360" w:right="337"/>
        <w:rPr>
          <w:rFonts w:asciiTheme="majorHAnsi" w:hAnsiTheme="majorHAnsi"/>
          <w:sz w:val="16"/>
          <w:szCs w:val="16"/>
        </w:rPr>
      </w:pPr>
      <w:r w:rsidRPr="008F55CC">
        <w:rPr>
          <w:rFonts w:asciiTheme="majorHAnsi" w:hAnsiTheme="majorHAnsi"/>
          <w:sz w:val="16"/>
          <w:szCs w:val="16"/>
        </w:rPr>
        <w:t>Thomsen J, Sass K, Odkvist L, Arlinger S. Local overpressure</w:t>
      </w:r>
      <w:r w:rsidRPr="008F55CC">
        <w:rPr>
          <w:rFonts w:asciiTheme="majorHAnsi" w:hAnsiTheme="majorHAnsi"/>
          <w:spacing w:val="-26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treatment</w:t>
      </w:r>
      <w:r w:rsidRPr="008F55CC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reduces</w:t>
      </w:r>
      <w:r w:rsidRPr="008F55CC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vestibular symptoms in patients with Meniere's disease: A clinical,</w:t>
      </w:r>
      <w:r w:rsidRPr="008F55CC">
        <w:rPr>
          <w:rFonts w:asciiTheme="majorHAnsi" w:hAnsiTheme="majorHAnsi"/>
          <w:spacing w:val="-35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randomized, multicenter,</w:t>
      </w:r>
      <w:r w:rsidRPr="008F55CC">
        <w:rPr>
          <w:rFonts w:asciiTheme="majorHAnsi" w:hAnsiTheme="majorHAnsi"/>
          <w:spacing w:val="-19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double-blind,</w:t>
      </w:r>
      <w:r w:rsidRPr="008F55CC">
        <w:rPr>
          <w:rFonts w:asciiTheme="majorHAnsi" w:hAnsiTheme="majorHAnsi"/>
          <w:spacing w:val="-18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placebo-controlled</w:t>
      </w:r>
      <w:r w:rsidRPr="008F55CC">
        <w:rPr>
          <w:rFonts w:asciiTheme="majorHAnsi" w:hAnsiTheme="majorHAnsi"/>
          <w:spacing w:val="-19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study.</w:t>
      </w:r>
      <w:r w:rsidRPr="008F55CC">
        <w:rPr>
          <w:rFonts w:asciiTheme="majorHAnsi" w:hAnsiTheme="majorHAnsi"/>
          <w:spacing w:val="-19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Otology</w:t>
      </w:r>
      <w:r w:rsidRPr="008F55CC">
        <w:rPr>
          <w:rFonts w:asciiTheme="majorHAnsi" w:hAnsiTheme="majorHAnsi"/>
          <w:spacing w:val="-23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and</w:t>
      </w:r>
      <w:r w:rsidRPr="008F55CC">
        <w:rPr>
          <w:rFonts w:asciiTheme="majorHAnsi" w:hAnsiTheme="majorHAnsi"/>
          <w:spacing w:val="-21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Neurotology</w:t>
      </w:r>
      <w:r w:rsidRPr="008F55CC">
        <w:rPr>
          <w:rFonts w:asciiTheme="majorHAnsi" w:hAnsiTheme="majorHAnsi"/>
          <w:spacing w:val="-20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 xml:space="preserve">2005;26:68-73 </w:t>
      </w:r>
    </w:p>
    <w:p w14:paraId="72A0CEB9" w14:textId="77777777" w:rsidR="006C16E9" w:rsidRPr="006C16E9" w:rsidRDefault="006C16E9" w:rsidP="006C16E9">
      <w:pPr>
        <w:spacing w:line="302" w:lineRule="auto"/>
        <w:ind w:right="337"/>
        <w:rPr>
          <w:rFonts w:asciiTheme="majorHAnsi" w:hAnsiTheme="majorHAnsi"/>
          <w:sz w:val="8"/>
          <w:szCs w:val="8"/>
        </w:rPr>
      </w:pPr>
    </w:p>
    <w:p w14:paraId="28C0F70A" w14:textId="71DE2791" w:rsidR="008F55CC" w:rsidRPr="006C16E9" w:rsidRDefault="008F55CC" w:rsidP="006C16E9">
      <w:pPr>
        <w:pStyle w:val="ListParagraph"/>
        <w:numPr>
          <w:ilvl w:val="0"/>
          <w:numId w:val="1"/>
        </w:numPr>
        <w:spacing w:line="302" w:lineRule="auto"/>
        <w:ind w:left="360" w:right="337"/>
        <w:rPr>
          <w:rFonts w:asciiTheme="majorHAnsi" w:hAnsiTheme="majorHAnsi"/>
          <w:sz w:val="16"/>
          <w:szCs w:val="16"/>
        </w:rPr>
      </w:pPr>
      <w:r w:rsidRPr="008F55CC">
        <w:rPr>
          <w:rFonts w:asciiTheme="majorHAnsi" w:hAnsiTheme="majorHAnsi"/>
          <w:sz w:val="16"/>
          <w:szCs w:val="16"/>
        </w:rPr>
        <w:t>Gates GA, Green J, Tucci DL, Telian SA. The effects of</w:t>
      </w:r>
      <w:r w:rsidRPr="008F55CC">
        <w:rPr>
          <w:rFonts w:asciiTheme="majorHAnsi" w:hAnsiTheme="majorHAnsi"/>
          <w:spacing w:val="-25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transtympanic</w:t>
      </w:r>
      <w:r w:rsidRPr="008F55CC">
        <w:rPr>
          <w:rFonts w:asciiTheme="majorHAnsi" w:hAnsiTheme="majorHAnsi"/>
          <w:spacing w:val="-5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micropressure treatment in people with unilateral Meniere's disease. Arch Otolaryngol Head Neck Surg</w:t>
      </w:r>
      <w:r w:rsidRPr="008F55CC">
        <w:rPr>
          <w:rFonts w:asciiTheme="majorHAnsi" w:hAnsiTheme="majorHAnsi"/>
          <w:spacing w:val="-10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2004;130:718-725</w:t>
      </w:r>
      <w:r w:rsidRPr="008F55CC">
        <w:rPr>
          <w:rFonts w:asciiTheme="majorHAnsi" w:hAnsiTheme="majorHAnsi"/>
          <w:spacing w:val="-9"/>
          <w:sz w:val="16"/>
          <w:szCs w:val="16"/>
        </w:rPr>
        <w:t xml:space="preserve"> </w:t>
      </w:r>
    </w:p>
    <w:p w14:paraId="36238C75" w14:textId="77777777" w:rsidR="006C16E9" w:rsidRPr="006C16E9" w:rsidRDefault="006C16E9" w:rsidP="006C16E9">
      <w:pPr>
        <w:spacing w:line="302" w:lineRule="auto"/>
        <w:ind w:right="337"/>
        <w:rPr>
          <w:rFonts w:asciiTheme="majorHAnsi" w:hAnsiTheme="majorHAnsi"/>
          <w:sz w:val="8"/>
          <w:szCs w:val="8"/>
        </w:rPr>
      </w:pPr>
    </w:p>
    <w:p w14:paraId="0DD21320" w14:textId="77777777" w:rsidR="008F55CC" w:rsidRDefault="008F55CC" w:rsidP="006C16E9">
      <w:pPr>
        <w:pStyle w:val="ListParagraph"/>
        <w:numPr>
          <w:ilvl w:val="0"/>
          <w:numId w:val="1"/>
        </w:numPr>
        <w:tabs>
          <w:tab w:val="left" w:pos="1059"/>
        </w:tabs>
        <w:spacing w:line="309" w:lineRule="auto"/>
        <w:ind w:left="360" w:right="99"/>
        <w:rPr>
          <w:rFonts w:asciiTheme="majorHAnsi" w:hAnsiTheme="majorHAnsi"/>
          <w:sz w:val="16"/>
          <w:szCs w:val="16"/>
        </w:rPr>
      </w:pPr>
      <w:r w:rsidRPr="008F55CC">
        <w:rPr>
          <w:rFonts w:asciiTheme="majorHAnsi" w:hAnsiTheme="majorHAnsi"/>
          <w:sz w:val="16"/>
          <w:szCs w:val="16"/>
        </w:rPr>
        <w:t>Odkvist LM, Arlinger S, Billermark E, Densert B, Lindholm S, Wallqvist J.</w:t>
      </w:r>
      <w:r w:rsidRPr="008F55CC">
        <w:rPr>
          <w:rFonts w:asciiTheme="majorHAnsi" w:hAnsiTheme="majorHAnsi"/>
          <w:spacing w:val="-25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Effects</w:t>
      </w:r>
      <w:r w:rsidRPr="008F55CC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 xml:space="preserve">of middle ear pressure changes on clinical symptoms in patients with Meniere's disease - A clinical multicentre placebo-controlled study. Acta Oto-Laryngol Suppl 2000;99-101 </w:t>
      </w:r>
    </w:p>
    <w:p w14:paraId="2AEF0018" w14:textId="77777777" w:rsidR="006C16E9" w:rsidRPr="006C16E9" w:rsidRDefault="006C16E9" w:rsidP="006C16E9">
      <w:pPr>
        <w:tabs>
          <w:tab w:val="left" w:pos="1059"/>
        </w:tabs>
        <w:spacing w:line="309" w:lineRule="auto"/>
        <w:ind w:right="99"/>
        <w:rPr>
          <w:rFonts w:asciiTheme="majorHAnsi" w:hAnsiTheme="majorHAnsi"/>
          <w:sz w:val="8"/>
          <w:szCs w:val="8"/>
        </w:rPr>
      </w:pPr>
    </w:p>
    <w:p w14:paraId="4F3479F5" w14:textId="77777777" w:rsidR="008F55CC" w:rsidRPr="008F55CC" w:rsidRDefault="008F55CC" w:rsidP="006C16E9">
      <w:pPr>
        <w:pStyle w:val="ListParagraph"/>
        <w:numPr>
          <w:ilvl w:val="0"/>
          <w:numId w:val="1"/>
        </w:numPr>
        <w:spacing w:line="307" w:lineRule="auto"/>
        <w:ind w:left="360" w:right="375"/>
        <w:rPr>
          <w:rFonts w:asciiTheme="majorHAnsi" w:hAnsiTheme="majorHAnsi"/>
          <w:sz w:val="16"/>
          <w:szCs w:val="16"/>
        </w:rPr>
      </w:pPr>
      <w:r w:rsidRPr="008F55CC">
        <w:rPr>
          <w:rFonts w:asciiTheme="majorHAnsi" w:hAnsiTheme="majorHAnsi"/>
          <w:sz w:val="16"/>
          <w:szCs w:val="16"/>
        </w:rPr>
        <w:t>Densert B, Densert O, Arlinger S, Sass K, Odkvist L. Immediate effects of middle ear pressure changes on the electrocochleographic recordings in patients with Meniere's disease:</w:t>
      </w:r>
      <w:r w:rsidRPr="008F55CC">
        <w:rPr>
          <w:rFonts w:asciiTheme="majorHAnsi" w:hAnsiTheme="majorHAnsi"/>
          <w:spacing w:val="-6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A</w:t>
      </w:r>
      <w:r w:rsidRPr="008F55CC">
        <w:rPr>
          <w:rFonts w:asciiTheme="majorHAnsi" w:hAnsiTheme="majorHAnsi"/>
          <w:spacing w:val="-9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clinical</w:t>
      </w:r>
      <w:r w:rsidRPr="008F55CC">
        <w:rPr>
          <w:rFonts w:asciiTheme="majorHAnsi" w:hAnsiTheme="majorHAnsi"/>
          <w:spacing w:val="-8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placebo-controlled</w:t>
      </w:r>
      <w:r w:rsidRPr="008F55CC">
        <w:rPr>
          <w:rFonts w:asciiTheme="majorHAnsi" w:hAnsiTheme="majorHAnsi"/>
          <w:spacing w:val="-8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study.</w:t>
      </w:r>
      <w:r w:rsidRPr="008F55CC">
        <w:rPr>
          <w:rFonts w:asciiTheme="majorHAnsi" w:hAnsiTheme="majorHAnsi"/>
          <w:spacing w:val="-6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AM</w:t>
      </w:r>
      <w:r w:rsidRPr="008F55CC">
        <w:rPr>
          <w:rFonts w:asciiTheme="majorHAnsi" w:hAnsiTheme="majorHAnsi"/>
          <w:spacing w:val="-13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J</w:t>
      </w:r>
      <w:r w:rsidRPr="008F55CC">
        <w:rPr>
          <w:rFonts w:asciiTheme="majorHAnsi" w:hAnsiTheme="majorHAnsi"/>
          <w:spacing w:val="-10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OTOL</w:t>
      </w:r>
      <w:r w:rsidRPr="008F55CC">
        <w:rPr>
          <w:rFonts w:asciiTheme="majorHAnsi" w:hAnsiTheme="majorHAnsi"/>
          <w:spacing w:val="-12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1997;18:726- 733.</w:t>
      </w:r>
    </w:p>
    <w:p w14:paraId="2B3782D9" w14:textId="77777777" w:rsidR="008F55CC" w:rsidRPr="008F55CC" w:rsidRDefault="008F55CC" w:rsidP="006C16E9">
      <w:pPr>
        <w:pStyle w:val="BodyText"/>
        <w:ind w:left="100"/>
        <w:rPr>
          <w:rFonts w:asciiTheme="majorHAnsi" w:hAnsiTheme="majorHAnsi"/>
          <w:sz w:val="16"/>
          <w:szCs w:val="16"/>
        </w:rPr>
      </w:pPr>
    </w:p>
    <w:p w14:paraId="0BA38651" w14:textId="77777777" w:rsidR="008F55CC" w:rsidRPr="008F55CC" w:rsidRDefault="008F55CC" w:rsidP="006C16E9">
      <w:pPr>
        <w:pStyle w:val="BodyText"/>
        <w:ind w:left="0" w:firstLine="0"/>
        <w:rPr>
          <w:rFonts w:asciiTheme="majorHAnsi" w:hAnsiTheme="majorHAnsi"/>
          <w:sz w:val="16"/>
          <w:szCs w:val="16"/>
        </w:rPr>
      </w:pPr>
    </w:p>
    <w:p w14:paraId="1B648FD8" w14:textId="77777777" w:rsidR="008F55CC" w:rsidRPr="008F55CC" w:rsidRDefault="008F55CC" w:rsidP="006C16E9">
      <w:pPr>
        <w:pStyle w:val="BodyText"/>
        <w:ind w:left="0" w:firstLine="0"/>
        <w:rPr>
          <w:rFonts w:asciiTheme="majorHAnsi" w:hAnsiTheme="majorHAnsi"/>
          <w:sz w:val="20"/>
          <w:szCs w:val="22"/>
        </w:rPr>
      </w:pPr>
      <w:r w:rsidRPr="008F55CC">
        <w:rPr>
          <w:rFonts w:asciiTheme="majorHAnsi" w:hAnsiTheme="majorHAnsi"/>
          <w:sz w:val="20"/>
          <w:szCs w:val="22"/>
        </w:rPr>
        <w:t>Other Clinical References</w:t>
      </w:r>
    </w:p>
    <w:p w14:paraId="1D60D549" w14:textId="77777777" w:rsidR="008F55CC" w:rsidRDefault="008F55CC" w:rsidP="006C16E9">
      <w:pPr>
        <w:pStyle w:val="ListParagraph"/>
        <w:numPr>
          <w:ilvl w:val="0"/>
          <w:numId w:val="1"/>
        </w:numPr>
        <w:tabs>
          <w:tab w:val="left" w:pos="1059"/>
        </w:tabs>
        <w:spacing w:line="302" w:lineRule="auto"/>
        <w:ind w:left="360" w:right="265"/>
        <w:rPr>
          <w:rFonts w:asciiTheme="majorHAnsi" w:hAnsiTheme="majorHAnsi"/>
          <w:sz w:val="16"/>
          <w:szCs w:val="16"/>
        </w:rPr>
      </w:pPr>
      <w:r w:rsidRPr="008F55CC">
        <w:rPr>
          <w:rFonts w:asciiTheme="majorHAnsi" w:hAnsiTheme="majorHAnsi"/>
          <w:sz w:val="16"/>
          <w:szCs w:val="16"/>
        </w:rPr>
        <w:t>Barbara M, Monini S, Chiappini I, Filipo R. Meniett therapy ma</w:t>
      </w:r>
      <w:r w:rsidR="00B65D1B">
        <w:rPr>
          <w:rFonts w:asciiTheme="majorHAnsi" w:hAnsiTheme="majorHAnsi"/>
          <w:sz w:val="16"/>
          <w:szCs w:val="16"/>
        </w:rPr>
        <w:t xml:space="preserve">y </w:t>
      </w:r>
      <w:r w:rsidRPr="008F55CC">
        <w:rPr>
          <w:rFonts w:asciiTheme="majorHAnsi" w:hAnsiTheme="majorHAnsi"/>
          <w:sz w:val="16"/>
          <w:szCs w:val="16"/>
        </w:rPr>
        <w:t>avoid</w:t>
      </w:r>
      <w:r w:rsidRPr="008F55CC">
        <w:rPr>
          <w:rFonts w:asciiTheme="majorHAnsi" w:hAnsiTheme="majorHAnsi"/>
          <w:spacing w:val="-5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vestibular</w:t>
      </w:r>
      <w:r w:rsidRPr="008F55CC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neurectomy in disabling Meniere's disease. Acta Oto-Laryngol 2007;127:1136-1141.</w:t>
      </w:r>
    </w:p>
    <w:p w14:paraId="27426820" w14:textId="77777777" w:rsidR="006C16E9" w:rsidRPr="006C16E9" w:rsidRDefault="006C16E9" w:rsidP="006C16E9">
      <w:pPr>
        <w:pStyle w:val="ListParagraph"/>
        <w:tabs>
          <w:tab w:val="left" w:pos="1059"/>
        </w:tabs>
        <w:spacing w:line="302" w:lineRule="auto"/>
        <w:ind w:left="360" w:right="265" w:firstLine="0"/>
        <w:rPr>
          <w:rFonts w:asciiTheme="majorHAnsi" w:hAnsiTheme="majorHAnsi"/>
          <w:sz w:val="8"/>
          <w:szCs w:val="8"/>
        </w:rPr>
      </w:pPr>
    </w:p>
    <w:p w14:paraId="26E309CB" w14:textId="77777777" w:rsidR="008F55CC" w:rsidRDefault="008F55CC" w:rsidP="006C16E9">
      <w:pPr>
        <w:pStyle w:val="ListParagraph"/>
        <w:numPr>
          <w:ilvl w:val="0"/>
          <w:numId w:val="1"/>
        </w:numPr>
        <w:tabs>
          <w:tab w:val="left" w:pos="1059"/>
        </w:tabs>
        <w:spacing w:line="302" w:lineRule="auto"/>
        <w:ind w:left="360" w:right="265"/>
        <w:rPr>
          <w:rFonts w:asciiTheme="majorHAnsi" w:hAnsiTheme="majorHAnsi"/>
          <w:sz w:val="16"/>
          <w:szCs w:val="16"/>
        </w:rPr>
      </w:pPr>
      <w:r w:rsidRPr="008F55CC">
        <w:rPr>
          <w:rFonts w:asciiTheme="majorHAnsi" w:hAnsiTheme="majorHAnsi"/>
          <w:sz w:val="16"/>
          <w:szCs w:val="16"/>
        </w:rPr>
        <w:t>Barbara M, Lazzarino AI, Biagini M, Costa M, Monini S. Influence o</w:t>
      </w:r>
      <w:r w:rsidR="00B65D1B">
        <w:rPr>
          <w:rFonts w:asciiTheme="majorHAnsi" w:hAnsiTheme="majorHAnsi"/>
          <w:sz w:val="16"/>
          <w:szCs w:val="16"/>
        </w:rPr>
        <w:t xml:space="preserve">f </w:t>
      </w:r>
      <w:r w:rsidRPr="008F55CC">
        <w:rPr>
          <w:rFonts w:asciiTheme="majorHAnsi" w:hAnsiTheme="majorHAnsi"/>
          <w:sz w:val="16"/>
          <w:szCs w:val="16"/>
        </w:rPr>
        <w:t>Meniett</w:t>
      </w:r>
      <w:r w:rsidRPr="008F55CC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treatment</w:t>
      </w:r>
      <w:r w:rsidRPr="008F55CC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 xml:space="preserve">on hearing. Acta Oto-Laryngol 2010;130:1256-1259 </w:t>
      </w:r>
    </w:p>
    <w:p w14:paraId="39A166A5" w14:textId="77777777" w:rsidR="006C16E9" w:rsidRPr="006C16E9" w:rsidRDefault="006C16E9" w:rsidP="006C16E9">
      <w:pPr>
        <w:tabs>
          <w:tab w:val="left" w:pos="1059"/>
        </w:tabs>
        <w:spacing w:line="302" w:lineRule="auto"/>
        <w:ind w:right="265"/>
        <w:rPr>
          <w:rFonts w:asciiTheme="majorHAnsi" w:hAnsiTheme="majorHAnsi"/>
          <w:sz w:val="8"/>
          <w:szCs w:val="8"/>
        </w:rPr>
      </w:pPr>
    </w:p>
    <w:p w14:paraId="6646B35E" w14:textId="77777777" w:rsidR="008F55CC" w:rsidRDefault="008F55CC" w:rsidP="006C16E9">
      <w:pPr>
        <w:pStyle w:val="ListParagraph"/>
        <w:numPr>
          <w:ilvl w:val="0"/>
          <w:numId w:val="1"/>
        </w:numPr>
        <w:tabs>
          <w:tab w:val="left" w:pos="1059"/>
        </w:tabs>
        <w:spacing w:line="302" w:lineRule="auto"/>
        <w:ind w:left="360" w:right="265"/>
        <w:rPr>
          <w:rFonts w:asciiTheme="majorHAnsi" w:hAnsiTheme="majorHAnsi"/>
          <w:sz w:val="16"/>
          <w:szCs w:val="16"/>
        </w:rPr>
      </w:pPr>
      <w:r w:rsidRPr="008F55CC">
        <w:rPr>
          <w:rFonts w:asciiTheme="majorHAnsi" w:hAnsiTheme="majorHAnsi"/>
          <w:sz w:val="16"/>
          <w:szCs w:val="16"/>
        </w:rPr>
        <w:t>Densert B, Sass K. Control of symptoms in patients with Meniere's disease using middle</w:t>
      </w:r>
      <w:r w:rsidRPr="008F55CC">
        <w:rPr>
          <w:rFonts w:asciiTheme="majorHAnsi" w:hAnsiTheme="majorHAnsi"/>
          <w:spacing w:val="-10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ear</w:t>
      </w:r>
      <w:r w:rsidRPr="008F55CC">
        <w:rPr>
          <w:rFonts w:asciiTheme="majorHAnsi" w:hAnsiTheme="majorHAnsi"/>
          <w:spacing w:val="-11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pressure</w:t>
      </w:r>
      <w:r w:rsidRPr="008F55CC">
        <w:rPr>
          <w:rFonts w:asciiTheme="majorHAnsi" w:hAnsiTheme="majorHAnsi"/>
          <w:spacing w:val="-10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applications:</w:t>
      </w:r>
      <w:r w:rsidRPr="008F55CC">
        <w:rPr>
          <w:rFonts w:asciiTheme="majorHAnsi" w:hAnsiTheme="majorHAnsi"/>
          <w:spacing w:val="-9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Two</w:t>
      </w:r>
      <w:r w:rsidRPr="008F55CC">
        <w:rPr>
          <w:rFonts w:asciiTheme="majorHAnsi" w:hAnsiTheme="majorHAnsi"/>
          <w:spacing w:val="-12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years</w:t>
      </w:r>
      <w:r w:rsidRPr="008F55CC">
        <w:rPr>
          <w:rFonts w:asciiTheme="majorHAnsi" w:hAnsiTheme="majorHAnsi"/>
          <w:spacing w:val="-12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follow-up.</w:t>
      </w:r>
      <w:r w:rsidRPr="008F55CC">
        <w:rPr>
          <w:rFonts w:asciiTheme="majorHAnsi" w:hAnsiTheme="majorHAnsi"/>
          <w:spacing w:val="-9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Acta</w:t>
      </w:r>
      <w:r w:rsidRPr="008F55CC">
        <w:rPr>
          <w:rFonts w:asciiTheme="majorHAnsi" w:hAnsiTheme="majorHAnsi"/>
          <w:spacing w:val="-15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Oto-Laryngol</w:t>
      </w:r>
      <w:r w:rsidRPr="008F55CC">
        <w:rPr>
          <w:rFonts w:asciiTheme="majorHAnsi" w:hAnsiTheme="majorHAnsi"/>
          <w:spacing w:val="-15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 xml:space="preserve">2001;121:616-621 </w:t>
      </w:r>
    </w:p>
    <w:p w14:paraId="09575A5F" w14:textId="77777777" w:rsidR="006C16E9" w:rsidRPr="006C16E9" w:rsidRDefault="006C16E9" w:rsidP="006C16E9">
      <w:pPr>
        <w:tabs>
          <w:tab w:val="left" w:pos="1059"/>
        </w:tabs>
        <w:spacing w:line="302" w:lineRule="auto"/>
        <w:ind w:right="265"/>
        <w:rPr>
          <w:rFonts w:asciiTheme="majorHAnsi" w:hAnsiTheme="majorHAnsi"/>
          <w:sz w:val="8"/>
          <w:szCs w:val="8"/>
        </w:rPr>
      </w:pPr>
    </w:p>
    <w:p w14:paraId="415BFCFB" w14:textId="65148225" w:rsidR="008F55CC" w:rsidRDefault="008F55CC" w:rsidP="006C16E9">
      <w:pPr>
        <w:pStyle w:val="ListParagraph"/>
        <w:numPr>
          <w:ilvl w:val="0"/>
          <w:numId w:val="1"/>
        </w:numPr>
        <w:tabs>
          <w:tab w:val="left" w:pos="1059"/>
        </w:tabs>
        <w:spacing w:line="302" w:lineRule="auto"/>
        <w:ind w:left="360" w:right="265"/>
        <w:rPr>
          <w:rFonts w:asciiTheme="majorHAnsi" w:hAnsiTheme="majorHAnsi"/>
          <w:sz w:val="16"/>
          <w:szCs w:val="16"/>
        </w:rPr>
      </w:pPr>
      <w:r w:rsidRPr="008F55CC">
        <w:rPr>
          <w:rFonts w:asciiTheme="majorHAnsi" w:hAnsiTheme="majorHAnsi"/>
          <w:sz w:val="16"/>
          <w:szCs w:val="16"/>
        </w:rPr>
        <w:t>Dornhoffer JL, King D. The effect of the Meniett device in patient</w:t>
      </w:r>
      <w:r w:rsidR="00C90EE8">
        <w:rPr>
          <w:rFonts w:asciiTheme="majorHAnsi" w:hAnsiTheme="majorHAnsi"/>
          <w:sz w:val="16"/>
          <w:szCs w:val="16"/>
        </w:rPr>
        <w:t xml:space="preserve">s </w:t>
      </w:r>
      <w:r w:rsidRPr="008F55CC">
        <w:rPr>
          <w:rFonts w:asciiTheme="majorHAnsi" w:hAnsiTheme="majorHAnsi"/>
          <w:sz w:val="16"/>
          <w:szCs w:val="16"/>
        </w:rPr>
        <w:t>with</w:t>
      </w:r>
      <w:r w:rsidRPr="008F55CC">
        <w:rPr>
          <w:rFonts w:asciiTheme="majorHAnsi" w:hAnsiTheme="majorHAnsi"/>
          <w:spacing w:val="-5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Meniere's disease:</w:t>
      </w:r>
      <w:r w:rsidRPr="008F55CC">
        <w:rPr>
          <w:rFonts w:asciiTheme="majorHAnsi" w:hAnsiTheme="majorHAnsi"/>
          <w:spacing w:val="-16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Long-term</w:t>
      </w:r>
      <w:r w:rsidRPr="008F55CC">
        <w:rPr>
          <w:rFonts w:asciiTheme="majorHAnsi" w:hAnsiTheme="majorHAnsi"/>
          <w:spacing w:val="-19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results.</w:t>
      </w:r>
      <w:r w:rsidRPr="008F55CC">
        <w:rPr>
          <w:rFonts w:asciiTheme="majorHAnsi" w:hAnsiTheme="majorHAnsi"/>
          <w:spacing w:val="-18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Otolog</w:t>
      </w:r>
      <w:r w:rsidR="00C90EE8">
        <w:rPr>
          <w:rFonts w:asciiTheme="majorHAnsi" w:hAnsiTheme="majorHAnsi"/>
          <w:sz w:val="16"/>
          <w:szCs w:val="16"/>
        </w:rPr>
        <w:t xml:space="preserve">y </w:t>
      </w:r>
      <w:r w:rsidRPr="008F55CC">
        <w:rPr>
          <w:rFonts w:asciiTheme="majorHAnsi" w:hAnsiTheme="majorHAnsi"/>
          <w:sz w:val="16"/>
          <w:szCs w:val="16"/>
        </w:rPr>
        <w:t>an</w:t>
      </w:r>
      <w:r w:rsidR="00C90EE8">
        <w:rPr>
          <w:rFonts w:asciiTheme="majorHAnsi" w:hAnsiTheme="majorHAnsi"/>
          <w:sz w:val="16"/>
          <w:szCs w:val="16"/>
        </w:rPr>
        <w:t xml:space="preserve">d </w:t>
      </w:r>
      <w:r w:rsidRPr="008F55CC">
        <w:rPr>
          <w:rFonts w:asciiTheme="majorHAnsi" w:hAnsiTheme="majorHAnsi"/>
          <w:sz w:val="16"/>
          <w:szCs w:val="16"/>
        </w:rPr>
        <w:t>Neurotology</w:t>
      </w:r>
      <w:r w:rsidRPr="008F55CC">
        <w:rPr>
          <w:rFonts w:asciiTheme="majorHAnsi" w:hAnsiTheme="majorHAnsi"/>
          <w:spacing w:val="-19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2008;29:868-874</w:t>
      </w:r>
    </w:p>
    <w:p w14:paraId="35A7F3E9" w14:textId="77777777" w:rsidR="006C16E9" w:rsidRPr="006C16E9" w:rsidRDefault="006C16E9" w:rsidP="006C16E9">
      <w:pPr>
        <w:tabs>
          <w:tab w:val="left" w:pos="1059"/>
        </w:tabs>
        <w:spacing w:line="302" w:lineRule="auto"/>
        <w:ind w:right="265"/>
        <w:rPr>
          <w:rFonts w:asciiTheme="majorHAnsi" w:hAnsiTheme="majorHAnsi"/>
          <w:sz w:val="8"/>
          <w:szCs w:val="8"/>
        </w:rPr>
      </w:pPr>
    </w:p>
    <w:p w14:paraId="6C4EC6C3" w14:textId="2B307D1B" w:rsidR="008F55CC" w:rsidRDefault="008F55CC" w:rsidP="006C16E9">
      <w:pPr>
        <w:pStyle w:val="ListParagraph"/>
        <w:numPr>
          <w:ilvl w:val="0"/>
          <w:numId w:val="1"/>
        </w:numPr>
        <w:tabs>
          <w:tab w:val="left" w:pos="1059"/>
        </w:tabs>
        <w:spacing w:line="302" w:lineRule="auto"/>
        <w:ind w:left="360" w:right="265"/>
        <w:rPr>
          <w:rFonts w:asciiTheme="majorHAnsi" w:hAnsiTheme="majorHAnsi"/>
          <w:sz w:val="16"/>
          <w:szCs w:val="16"/>
        </w:rPr>
      </w:pPr>
      <w:r w:rsidRPr="008F55CC">
        <w:rPr>
          <w:rFonts w:asciiTheme="majorHAnsi" w:hAnsiTheme="majorHAnsi"/>
          <w:sz w:val="16"/>
          <w:szCs w:val="16"/>
        </w:rPr>
        <w:t>Huang W, Liu F, Gao B, Zhou J. Clinical long-term effects of Meniet</w:t>
      </w:r>
      <w:r w:rsidR="00C90EE8">
        <w:rPr>
          <w:rFonts w:asciiTheme="majorHAnsi" w:hAnsiTheme="majorHAnsi"/>
          <w:sz w:val="16"/>
          <w:szCs w:val="16"/>
        </w:rPr>
        <w:t xml:space="preserve">t </w:t>
      </w:r>
      <w:r w:rsidRPr="008F55CC">
        <w:rPr>
          <w:rFonts w:asciiTheme="majorHAnsi" w:hAnsiTheme="majorHAnsi"/>
          <w:sz w:val="16"/>
          <w:szCs w:val="16"/>
        </w:rPr>
        <w:t>pulse</w:t>
      </w:r>
      <w:r w:rsidRPr="008F55CC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generator</w:t>
      </w:r>
      <w:r w:rsidRPr="008F55CC">
        <w:rPr>
          <w:rFonts w:asciiTheme="majorHAnsi" w:hAnsiTheme="majorHAnsi"/>
          <w:spacing w:val="-1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for Meniere's disease. Acta Oto-Laryngol 2009;129:819-825.</w:t>
      </w:r>
    </w:p>
    <w:p w14:paraId="10C30B21" w14:textId="77777777" w:rsidR="006C16E9" w:rsidRPr="006C16E9" w:rsidRDefault="006C16E9" w:rsidP="006C16E9">
      <w:pPr>
        <w:tabs>
          <w:tab w:val="left" w:pos="1059"/>
        </w:tabs>
        <w:spacing w:line="302" w:lineRule="auto"/>
        <w:ind w:right="265"/>
        <w:rPr>
          <w:rFonts w:asciiTheme="majorHAnsi" w:hAnsiTheme="majorHAnsi"/>
          <w:sz w:val="8"/>
          <w:szCs w:val="8"/>
        </w:rPr>
      </w:pPr>
    </w:p>
    <w:p w14:paraId="252C173C" w14:textId="759CDF55" w:rsidR="008F55CC" w:rsidRDefault="008F55CC" w:rsidP="006C16E9">
      <w:pPr>
        <w:pStyle w:val="ListParagraph"/>
        <w:numPr>
          <w:ilvl w:val="0"/>
          <w:numId w:val="1"/>
        </w:numPr>
        <w:tabs>
          <w:tab w:val="left" w:pos="1059"/>
        </w:tabs>
        <w:spacing w:line="302" w:lineRule="auto"/>
        <w:ind w:left="360" w:right="265"/>
        <w:rPr>
          <w:rFonts w:asciiTheme="majorHAnsi" w:hAnsiTheme="majorHAnsi"/>
          <w:sz w:val="16"/>
          <w:szCs w:val="16"/>
        </w:rPr>
      </w:pPr>
      <w:r w:rsidRPr="008F55CC">
        <w:rPr>
          <w:rFonts w:asciiTheme="majorHAnsi" w:hAnsiTheme="majorHAnsi"/>
          <w:sz w:val="16"/>
          <w:szCs w:val="16"/>
        </w:rPr>
        <w:t xml:space="preserve">Mattox </w:t>
      </w:r>
      <w:r w:rsidRPr="008F55CC">
        <w:rPr>
          <w:rFonts w:asciiTheme="majorHAnsi" w:hAnsiTheme="majorHAnsi"/>
          <w:spacing w:val="-2"/>
          <w:sz w:val="16"/>
          <w:szCs w:val="16"/>
        </w:rPr>
        <w:t xml:space="preserve">DE, </w:t>
      </w:r>
      <w:r w:rsidRPr="008F55CC">
        <w:rPr>
          <w:rFonts w:asciiTheme="majorHAnsi" w:hAnsiTheme="majorHAnsi"/>
          <w:sz w:val="16"/>
          <w:szCs w:val="16"/>
        </w:rPr>
        <w:t>Reichert M. Meniett device for Meniere's disease: Use and complianc</w:t>
      </w:r>
      <w:r w:rsidR="00C90EE8">
        <w:rPr>
          <w:rFonts w:asciiTheme="majorHAnsi" w:hAnsiTheme="majorHAnsi"/>
          <w:sz w:val="16"/>
          <w:szCs w:val="16"/>
        </w:rPr>
        <w:t xml:space="preserve">e </w:t>
      </w:r>
      <w:r w:rsidRPr="008F55CC">
        <w:rPr>
          <w:rFonts w:asciiTheme="majorHAnsi" w:hAnsiTheme="majorHAnsi"/>
          <w:sz w:val="16"/>
          <w:szCs w:val="16"/>
        </w:rPr>
        <w:t>at</w:t>
      </w:r>
      <w:r w:rsidRPr="008F55CC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3 to 5 years. Otology and Neurotology 2008;29:29-32.</w:t>
      </w:r>
    </w:p>
    <w:p w14:paraId="15982856" w14:textId="77777777" w:rsidR="006C16E9" w:rsidRPr="006C16E9" w:rsidRDefault="006C16E9" w:rsidP="006C16E9">
      <w:pPr>
        <w:tabs>
          <w:tab w:val="left" w:pos="1059"/>
        </w:tabs>
        <w:spacing w:line="302" w:lineRule="auto"/>
        <w:ind w:right="265"/>
        <w:rPr>
          <w:rFonts w:asciiTheme="majorHAnsi" w:hAnsiTheme="majorHAnsi"/>
          <w:sz w:val="8"/>
          <w:szCs w:val="8"/>
        </w:rPr>
      </w:pPr>
    </w:p>
    <w:p w14:paraId="6487828A" w14:textId="77777777" w:rsidR="006C16E9" w:rsidRDefault="008F55CC" w:rsidP="006C16E9">
      <w:pPr>
        <w:pStyle w:val="ListParagraph"/>
        <w:numPr>
          <w:ilvl w:val="0"/>
          <w:numId w:val="1"/>
        </w:numPr>
        <w:tabs>
          <w:tab w:val="left" w:pos="1059"/>
        </w:tabs>
        <w:spacing w:line="302" w:lineRule="auto"/>
        <w:ind w:left="360" w:right="265"/>
        <w:rPr>
          <w:rFonts w:asciiTheme="majorHAnsi" w:hAnsiTheme="majorHAnsi"/>
          <w:sz w:val="16"/>
          <w:szCs w:val="16"/>
        </w:rPr>
      </w:pPr>
      <w:r w:rsidRPr="008F55CC">
        <w:rPr>
          <w:rFonts w:asciiTheme="majorHAnsi" w:hAnsiTheme="majorHAnsi"/>
          <w:sz w:val="16"/>
          <w:szCs w:val="16"/>
        </w:rPr>
        <w:t>Rajan GP, Din S, Atlas MD. Long-term effects of the Meniett device</w:t>
      </w:r>
      <w:r w:rsidRPr="008F55CC">
        <w:rPr>
          <w:rFonts w:asciiTheme="majorHAnsi" w:hAnsiTheme="majorHAnsi"/>
          <w:spacing w:val="-26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in</w:t>
      </w:r>
      <w:r w:rsidRPr="008F55CC">
        <w:rPr>
          <w:rFonts w:asciiTheme="majorHAnsi" w:hAnsiTheme="majorHAnsi"/>
          <w:spacing w:val="-4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Meniere's disease: The Western Australian experience. J Laryngol Otol 2005;119:391-395</w:t>
      </w:r>
      <w:r w:rsidR="006C16E9">
        <w:rPr>
          <w:rFonts w:asciiTheme="majorHAnsi" w:hAnsiTheme="majorHAnsi"/>
          <w:sz w:val="16"/>
          <w:szCs w:val="16"/>
        </w:rPr>
        <w:t>.</w:t>
      </w:r>
    </w:p>
    <w:p w14:paraId="27841DF5" w14:textId="3DA7E1D1" w:rsidR="008F55CC" w:rsidRPr="006C16E9" w:rsidRDefault="008F55CC" w:rsidP="006C16E9">
      <w:pPr>
        <w:tabs>
          <w:tab w:val="left" w:pos="1059"/>
        </w:tabs>
        <w:spacing w:line="302" w:lineRule="auto"/>
        <w:ind w:right="265"/>
        <w:rPr>
          <w:rFonts w:asciiTheme="majorHAnsi" w:hAnsiTheme="majorHAnsi"/>
          <w:sz w:val="8"/>
          <w:szCs w:val="8"/>
        </w:rPr>
      </w:pPr>
      <w:r w:rsidRPr="006C16E9">
        <w:rPr>
          <w:rFonts w:asciiTheme="majorHAnsi" w:hAnsiTheme="majorHAnsi"/>
          <w:sz w:val="8"/>
          <w:szCs w:val="8"/>
        </w:rPr>
        <w:t xml:space="preserve"> </w:t>
      </w:r>
    </w:p>
    <w:p w14:paraId="127E0C95" w14:textId="5CDCBB88" w:rsidR="008F55CC" w:rsidRDefault="008F55CC" w:rsidP="006C16E9">
      <w:pPr>
        <w:pStyle w:val="ListParagraph"/>
        <w:numPr>
          <w:ilvl w:val="0"/>
          <w:numId w:val="1"/>
        </w:numPr>
        <w:tabs>
          <w:tab w:val="left" w:pos="1059"/>
        </w:tabs>
        <w:spacing w:line="302" w:lineRule="auto"/>
        <w:ind w:left="360" w:right="265"/>
        <w:rPr>
          <w:rFonts w:asciiTheme="majorHAnsi" w:hAnsiTheme="majorHAnsi"/>
          <w:sz w:val="16"/>
          <w:szCs w:val="16"/>
        </w:rPr>
      </w:pPr>
      <w:r w:rsidRPr="008F55CC">
        <w:rPr>
          <w:rFonts w:asciiTheme="majorHAnsi" w:hAnsiTheme="majorHAnsi"/>
          <w:sz w:val="16"/>
          <w:szCs w:val="16"/>
        </w:rPr>
        <w:t>Shojaku H, Watanabe Y, Mineta H et al. Long-term effects of the Meniet</w:t>
      </w:r>
      <w:r w:rsidR="00C90EE8">
        <w:rPr>
          <w:rFonts w:asciiTheme="majorHAnsi" w:hAnsiTheme="majorHAnsi"/>
          <w:sz w:val="16"/>
          <w:szCs w:val="16"/>
        </w:rPr>
        <w:t xml:space="preserve">t </w:t>
      </w:r>
      <w:r w:rsidRPr="008F55CC">
        <w:rPr>
          <w:rFonts w:asciiTheme="majorHAnsi" w:hAnsiTheme="majorHAnsi"/>
          <w:sz w:val="16"/>
          <w:szCs w:val="16"/>
        </w:rPr>
        <w:t>device</w:t>
      </w:r>
      <w:r w:rsidRPr="008F55CC">
        <w:rPr>
          <w:rFonts w:asciiTheme="majorHAnsi" w:hAnsiTheme="majorHAnsi"/>
          <w:spacing w:val="-2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 xml:space="preserve">in Japanese patients with Meniere's disease and delayed endolymphatic hydrops reported by the Middle Ear Pressure Treatment Research Group of Japan. Acta Oto- Laryngol 2011;131:277-283. </w:t>
      </w:r>
    </w:p>
    <w:p w14:paraId="2DEFD218" w14:textId="77777777" w:rsidR="006C16E9" w:rsidRPr="006C16E9" w:rsidRDefault="006C16E9" w:rsidP="006C16E9">
      <w:pPr>
        <w:tabs>
          <w:tab w:val="left" w:pos="1059"/>
        </w:tabs>
        <w:spacing w:line="302" w:lineRule="auto"/>
        <w:ind w:right="265"/>
        <w:rPr>
          <w:rFonts w:asciiTheme="majorHAnsi" w:hAnsiTheme="majorHAnsi"/>
          <w:sz w:val="8"/>
          <w:szCs w:val="8"/>
        </w:rPr>
      </w:pPr>
    </w:p>
    <w:p w14:paraId="356418D2" w14:textId="56E83508" w:rsidR="008F55CC" w:rsidRPr="008F55CC" w:rsidRDefault="008F55CC" w:rsidP="006C16E9">
      <w:pPr>
        <w:pStyle w:val="ListParagraph"/>
        <w:numPr>
          <w:ilvl w:val="0"/>
          <w:numId w:val="1"/>
        </w:numPr>
        <w:tabs>
          <w:tab w:val="left" w:pos="1059"/>
        </w:tabs>
        <w:spacing w:line="309" w:lineRule="auto"/>
        <w:ind w:left="360" w:right="300"/>
        <w:rPr>
          <w:rFonts w:asciiTheme="majorHAnsi" w:hAnsiTheme="majorHAnsi"/>
          <w:sz w:val="16"/>
          <w:szCs w:val="16"/>
        </w:rPr>
      </w:pPr>
      <w:r w:rsidRPr="008F55CC">
        <w:rPr>
          <w:rFonts w:asciiTheme="majorHAnsi" w:hAnsiTheme="majorHAnsi"/>
          <w:sz w:val="16"/>
          <w:szCs w:val="16"/>
        </w:rPr>
        <w:t>Gates GA, Verrall A, Green J, Tucci DL, Telian SA. Meniett clinica</w:t>
      </w:r>
      <w:r w:rsidR="00C90EE8">
        <w:rPr>
          <w:rFonts w:asciiTheme="majorHAnsi" w:hAnsiTheme="majorHAnsi"/>
          <w:sz w:val="16"/>
          <w:szCs w:val="16"/>
        </w:rPr>
        <w:t xml:space="preserve">l </w:t>
      </w:r>
      <w:r w:rsidRPr="008F55CC">
        <w:rPr>
          <w:rFonts w:asciiTheme="majorHAnsi" w:hAnsiTheme="majorHAnsi"/>
          <w:sz w:val="16"/>
          <w:szCs w:val="16"/>
        </w:rPr>
        <w:t>trial:</w:t>
      </w:r>
      <w:r w:rsidRPr="008F55CC">
        <w:rPr>
          <w:rFonts w:asciiTheme="majorHAnsi" w:hAnsiTheme="majorHAnsi"/>
          <w:spacing w:val="-3"/>
          <w:sz w:val="16"/>
          <w:szCs w:val="16"/>
        </w:rPr>
        <w:t xml:space="preserve"> </w:t>
      </w:r>
      <w:r w:rsidRPr="008F55CC">
        <w:rPr>
          <w:rFonts w:asciiTheme="majorHAnsi" w:hAnsiTheme="majorHAnsi"/>
          <w:sz w:val="16"/>
          <w:szCs w:val="16"/>
        </w:rPr>
        <w:t>Long-term follow-up. Arch Otolaryngol Head Neck Surg 2006;132:13</w:t>
      </w:r>
      <w:r w:rsidR="006C16E9">
        <w:rPr>
          <w:rFonts w:asciiTheme="majorHAnsi" w:hAnsiTheme="majorHAnsi"/>
          <w:sz w:val="16"/>
          <w:szCs w:val="16"/>
        </w:rPr>
        <w:t>11-1316</w:t>
      </w:r>
    </w:p>
    <w:sectPr w:rsidR="008F55CC" w:rsidRPr="008F55CC" w:rsidSect="008F55C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F395B" w14:textId="77777777" w:rsidR="00E3618B" w:rsidRDefault="00E3618B" w:rsidP="00C90EE8">
      <w:r>
        <w:separator/>
      </w:r>
    </w:p>
  </w:endnote>
  <w:endnote w:type="continuationSeparator" w:id="0">
    <w:p w14:paraId="3F63755A" w14:textId="77777777" w:rsidR="00E3618B" w:rsidRDefault="00E3618B" w:rsidP="00C90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C66A3" w14:textId="77777777" w:rsidR="00E3618B" w:rsidRDefault="00E3618B" w:rsidP="00E361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628BDD" w14:textId="77777777" w:rsidR="00E3618B" w:rsidRDefault="00E3618B" w:rsidP="00C90EE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7A29D" w14:textId="77777777" w:rsidR="00E3618B" w:rsidRPr="00C90EE8" w:rsidRDefault="00E3618B" w:rsidP="00C90EE8">
    <w:pPr>
      <w:pStyle w:val="Footer"/>
      <w:framePr w:wrap="around" w:vAnchor="text" w:hAnchor="page" w:x="10621" w:y="-106"/>
      <w:rPr>
        <w:rStyle w:val="PageNumber"/>
        <w:rFonts w:asciiTheme="majorHAnsi" w:hAnsiTheme="majorHAnsi"/>
        <w:sz w:val="20"/>
        <w:szCs w:val="20"/>
      </w:rPr>
    </w:pPr>
    <w:r w:rsidRPr="00C90EE8">
      <w:rPr>
        <w:rStyle w:val="PageNumber"/>
        <w:rFonts w:asciiTheme="majorHAnsi" w:hAnsiTheme="majorHAnsi"/>
        <w:sz w:val="20"/>
        <w:szCs w:val="20"/>
      </w:rPr>
      <w:fldChar w:fldCharType="begin"/>
    </w:r>
    <w:r w:rsidRPr="00C90EE8">
      <w:rPr>
        <w:rStyle w:val="PageNumber"/>
        <w:rFonts w:asciiTheme="majorHAnsi" w:hAnsiTheme="majorHAnsi"/>
        <w:sz w:val="20"/>
        <w:szCs w:val="20"/>
      </w:rPr>
      <w:instrText xml:space="preserve">PAGE  </w:instrText>
    </w:r>
    <w:r w:rsidRPr="00C90EE8">
      <w:rPr>
        <w:rStyle w:val="PageNumber"/>
        <w:rFonts w:asciiTheme="majorHAnsi" w:hAnsiTheme="majorHAnsi"/>
        <w:sz w:val="20"/>
        <w:szCs w:val="20"/>
      </w:rPr>
      <w:fldChar w:fldCharType="separate"/>
    </w:r>
    <w:r w:rsidR="006C16E9">
      <w:rPr>
        <w:rStyle w:val="PageNumber"/>
        <w:rFonts w:asciiTheme="majorHAnsi" w:hAnsiTheme="majorHAnsi"/>
        <w:noProof/>
        <w:sz w:val="20"/>
        <w:szCs w:val="20"/>
      </w:rPr>
      <w:t>1</w:t>
    </w:r>
    <w:r w:rsidRPr="00C90EE8">
      <w:rPr>
        <w:rStyle w:val="PageNumber"/>
        <w:rFonts w:asciiTheme="majorHAnsi" w:hAnsiTheme="majorHAnsi"/>
        <w:sz w:val="20"/>
        <w:szCs w:val="20"/>
      </w:rPr>
      <w:fldChar w:fldCharType="end"/>
    </w:r>
  </w:p>
  <w:p w14:paraId="01FDB50F" w14:textId="77777777" w:rsidR="00E3618B" w:rsidRDefault="00E3618B" w:rsidP="00C90E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BEB88" w14:textId="77777777" w:rsidR="00E3618B" w:rsidRDefault="00E3618B" w:rsidP="00C90EE8">
      <w:r>
        <w:separator/>
      </w:r>
    </w:p>
  </w:footnote>
  <w:footnote w:type="continuationSeparator" w:id="0">
    <w:p w14:paraId="13B5A115" w14:textId="77777777" w:rsidR="00E3618B" w:rsidRDefault="00E3618B" w:rsidP="00C90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E1938"/>
    <w:multiLevelType w:val="hybridMultilevel"/>
    <w:tmpl w:val="ADE48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CC"/>
    <w:rsid w:val="00423AE6"/>
    <w:rsid w:val="005F187B"/>
    <w:rsid w:val="006A4103"/>
    <w:rsid w:val="006C16E9"/>
    <w:rsid w:val="008F55CC"/>
    <w:rsid w:val="00A92592"/>
    <w:rsid w:val="00B65D1B"/>
    <w:rsid w:val="00C90EE8"/>
    <w:rsid w:val="00E3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7867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55CC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F55CC"/>
    <w:pPr>
      <w:spacing w:before="199"/>
      <w:ind w:left="100" w:right="8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55C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8F55CC"/>
    <w:pPr>
      <w:ind w:left="460" w:hanging="36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F55CC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8F55CC"/>
    <w:pPr>
      <w:ind w:left="460" w:hanging="360"/>
    </w:pPr>
  </w:style>
  <w:style w:type="paragraph" w:styleId="Footer">
    <w:name w:val="footer"/>
    <w:basedOn w:val="Normal"/>
    <w:link w:val="FooterChar"/>
    <w:uiPriority w:val="99"/>
    <w:unhideWhenUsed/>
    <w:rsid w:val="00C90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E8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90EE8"/>
  </w:style>
  <w:style w:type="paragraph" w:styleId="Header">
    <w:name w:val="header"/>
    <w:basedOn w:val="Normal"/>
    <w:link w:val="HeaderChar"/>
    <w:uiPriority w:val="99"/>
    <w:unhideWhenUsed/>
    <w:rsid w:val="00C90E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EE8"/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F55CC"/>
    <w:pPr>
      <w:widowContro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F55CC"/>
    <w:pPr>
      <w:spacing w:before="199"/>
      <w:ind w:left="100" w:right="8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F55C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8F55CC"/>
    <w:pPr>
      <w:ind w:left="460" w:hanging="360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F55CC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8F55CC"/>
    <w:pPr>
      <w:ind w:left="460" w:hanging="360"/>
    </w:pPr>
  </w:style>
  <w:style w:type="paragraph" w:styleId="Footer">
    <w:name w:val="footer"/>
    <w:basedOn w:val="Normal"/>
    <w:link w:val="FooterChar"/>
    <w:uiPriority w:val="99"/>
    <w:unhideWhenUsed/>
    <w:rsid w:val="00C90E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E8"/>
    <w:rPr>
      <w:rFonts w:ascii="Times New Roman" w:eastAsia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90EE8"/>
  </w:style>
  <w:style w:type="paragraph" w:styleId="Header">
    <w:name w:val="header"/>
    <w:basedOn w:val="Normal"/>
    <w:link w:val="HeaderChar"/>
    <w:uiPriority w:val="99"/>
    <w:unhideWhenUsed/>
    <w:rsid w:val="00C90E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EE8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725</Words>
  <Characters>4135</Characters>
  <Application>Microsoft Macintosh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2016-10-04T11:29:00Z</cp:lastPrinted>
  <dcterms:created xsi:type="dcterms:W3CDTF">2016-10-03T13:16:00Z</dcterms:created>
  <dcterms:modified xsi:type="dcterms:W3CDTF">2016-10-04T11:47:00Z</dcterms:modified>
</cp:coreProperties>
</file>